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9360"/>
            <w:shd w:fill="1C355E"/>
            <w:tcMar>
              <w:top w:w="200" w:type="dxa"/>
              <w:bottom w:w="200" w:type="dxa"/>
              <w:left w:w="200" w:type="dxa"/>
              <w:right w:w="2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F57E20"/>
                <w:sz w:val="19"/>
              </w:rPr>
              <w:t>ATCAL S.A.S. | Aliados en Tecnología y Calidad</w:t>
              <w:br/>
            </w:r>
            <w:r>
              <w:rPr>
                <w:rFonts w:ascii="Arial" w:hAnsi="Arial"/>
                <w:b/>
                <w:color w:val="FFFFFF"/>
                <w:sz w:val="28"/>
              </w:rPr>
              <w:t>PROTOCOLO LEGAL ANTE FATALIDADES LABORALES Y EDICTO ART. 212 CST</w:t>
              <w:br/>
            </w:r>
            <w:r>
              <w:rPr>
                <w:rFonts w:ascii="Arial" w:hAnsi="Arial"/>
                <w:i/>
                <w:color w:val="DCE1EB"/>
                <w:sz w:val="19"/>
              </w:rPr>
              <w:t>Guía Jurídica y Procedimiento de Blindaje Empresarial ante Fallecimientos</w:t>
            </w:r>
          </w:p>
        </w:tc>
      </w:tr>
    </w:tbl>
    <w:p/>
    <w:p>
      <w:r>
        <w:rPr>
          <w:b/>
        </w:rPr>
        <w:t>1. MARCO LEGAL Y DISTINCIÓN FUNDAMENTAL DE ORIGEN:</w:t>
        <w:br/>
      </w:r>
      <w:r>
        <w:rPr>
          <w:b/>
        </w:rPr>
        <w:t xml:space="preserve">• Si el fallecimiento ocurrió dentro de la empresa, en portería, en ruta suministrada por el empleador o en misión laboral: </w:t>
      </w:r>
      <w:r>
        <w:t>Es ACCIDENTE DE TRABAJO MORTAL (Ley 1562 de 2012). Se radica FURAT mortal antes de 48 horas hábiles ante ARL, MinTrabajo y EPS. La ARL asume el Auxilio Funerario (5 a 10 SMMLV) y la Pensión de Sobrevivientes (Ley 776 de 2002).</w:t>
        <w:br/>
      </w:r>
      <w:r>
        <w:rPr>
          <w:b/>
        </w:rPr>
        <w:t xml:space="preserve">• Si el fallecimiento ocurrió en transporte público (TransMilenio/bus) o vehículo particular rumbo al trabajo: </w:t>
      </w:r>
      <w:r>
        <w:t>Es FALLECIMIENTO DE ORIGEN COMÚN (Art. 3 Ley 1562). Las prestaciones por muerte son asumidas por el Fondo de Pensiones (AFP/Colpensiones) y el SOAT del vehículo. NO se radica FURAT ante la ARL.</w:t>
      </w:r>
    </w:p>
    <w:p>
      <w:r>
        <w:rPr>
          <w:b/>
        </w:rPr>
        <w:br/>
        <w:t>2. PROCEDIMIENTO OBLIGATORIO DE EDICTOS EMPLAZATORIOS (ART. 212 CST):</w:t>
        <w:br/>
      </w:r>
      <w:r>
        <w:t>El empleador NO debe entregar la liquidación final de salarios y prestaciones sociales al primer familiar que se presente. Para quedar legalmente liberado de toda obligación frente a terceros con mejor derecho, debe seguir estrictamente este procedimiento:</w:t>
        <w:br/>
      </w:r>
      <w:r>
        <w:t>1. Publicar el EDICTO en un periódico de amplia circulación del lugar dos (2) veces con un intervalo de treinta (30) días entre cada publicación.</w:t>
        <w:br/>
      </w:r>
      <w:r>
        <w:t>2. Fijar copia del edicto en la cartelera o acceso principal de la empresa durante 30 días.</w:t>
        <w:br/>
      </w:r>
      <w:r>
        <w:t>3. Si transcurridos 30 días desde el segundo aviso no se presentan terceros en disputa, se procede a pagar válidamente a los herederos presentados (cónyuge, hijos o padres según el orden hereditario).</w:t>
      </w:r>
    </w:p>
    <w:p>
      <w:r>
        <w:rPr>
          <w:b/>
        </w:rPr>
        <w:br/>
        <w:t>3. MODELO EDITABLE DE TEXTO PARA PUBLICACIÓN DE EDICTO EN PRENSA:</w:t>
        <w:br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F1F5F9"/>
            <w:tcMar>
              <w:top w:w="150" w:type="dxa"/>
              <w:bottom w:w="150" w:type="dxa"/>
              <w:left w:w="150" w:type="dxa"/>
              <w:right w:w="150" w:type="dxa"/>
            </w:tcMar>
          </w:tcPr>
          <w:p>
            <w:r>
              <w:rPr>
                <w:b/>
              </w:rPr>
              <w:t>EDICTO EMPLAZATORIO (PRIMER AVISO / SEGUNDO AVISO)</w:t>
              <w:br/>
            </w:r>
            <w:r>
              <w:t>LA EMPRESA [NOMBRE DE LA EMPRESA], con NIT [NIT], hace saber:</w:t>
              <w:br/>
              <w:br/>
            </w:r>
            <w:r>
              <w:t>Que el día [Día] de [Mes] de 2026, falleció el señor(a) [NOMBRE DEL TRABAJADOR FALLECIDO], identificado(a) con Cédula de Ciudadanía No. [Número de Cédula], quien laboraba al servicio de esta compañía.</w:t>
              <w:br/>
              <w:br/>
            </w:r>
            <w:r>
              <w:t>A reclamar sus salarios insolutos y prestaciones sociales se han presentado los señores:</w:t>
              <w:br/>
            </w:r>
            <w:r>
              <w:t>• [Nombre del reclamante 1], C.C. [Cédula], en calidad de [Cónyuge / Compañera Permanente].</w:t>
              <w:br/>
            </w:r>
            <w:r>
              <w:t>• [Nombre del reclamante 2], T.I./C.C. [Documento], en calidad de [Hijo(a) legítimo(a)].</w:t>
              <w:br/>
              <w:br/>
            </w:r>
            <w:r>
              <w:t>Quienes se crean con igual o mejor derecho a reclamar dichas prestaciones, deberán presentarse ante las oficinas de la empresa ubicadas en la [Dirección de la Empresa], de la ciudad de [Ciudad], o al correo [correo@empresa.com], dentro de los treinta (30) días siguientes a la publicación del presente aviso, acreditando debidamente su parentesco y calidad de herederos.</w:t>
              <w:br/>
              <w:br/>
            </w:r>
            <w:r>
              <w:t>[NOMBRE DEL REPRESENTANTE LEGAL]</w:t>
              <w:br/>
              <w:t>Representante Legal - [NOMBRE DE LA EMPRESA]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